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733A4" w:rsidRDefault="00000000">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STUDIU DE EVALUARE </w:t>
      </w:r>
    </w:p>
    <w:p w:rsidR="007733A4" w:rsidRDefault="00000000">
      <w:pPr>
        <w:jc w:val="center"/>
        <w:rPr>
          <w:rFonts w:ascii="Times New Roman" w:hAnsi="Times New Roman" w:cs="Times New Roman"/>
          <w:b/>
          <w:bCs/>
          <w:sz w:val="28"/>
          <w:szCs w:val="28"/>
        </w:rPr>
      </w:pPr>
      <w:r>
        <w:rPr>
          <w:rFonts w:ascii="Times New Roman" w:eastAsia="Times New Roman" w:hAnsi="Times New Roman" w:cs="Times New Roman"/>
          <w:b/>
          <w:bCs/>
          <w:sz w:val="28"/>
          <w:szCs w:val="28"/>
        </w:rPr>
        <w:t xml:space="preserve">A IMPACTULUI ASUPRA SĂNĂTĂȚII POPULAȚIEI </w:t>
      </w:r>
    </w:p>
    <w:p w:rsidR="007733A4" w:rsidRDefault="00000000">
      <w:r>
        <w:t>(elaborat de HYGMASTER S.R.L.1 în conformitate cu Ordinul Ministerului Sănătății nr. 1524/2019)</w:t>
      </w:r>
    </w:p>
    <w:p w:rsidR="007733A4" w:rsidRDefault="00000000">
      <w:r>
        <w:t xml:space="preserve"> pentru obiectivul</w:t>
      </w:r>
      <w:r>
        <w:rPr>
          <w:rFonts w:ascii="Times New Roman" w:eastAsia="Times New Roman" w:hAnsi="Times New Roman" w:cs="Times New Roman"/>
          <w:b/>
          <w:bCs/>
          <w:sz w:val="24"/>
          <w:szCs w:val="24"/>
        </w:rPr>
        <w:t xml:space="preserve"> ”ÎNFIINȚAREA UNUI CENTRU DE COLECTARE A DEȘEURILOR PRIN APORT VOLUNTAR ÎN COMUNA SASCA MONTANĂ, JUDEȚUL CARAȘ-SEVERIN</w:t>
      </w:r>
      <w:r>
        <w:t xml:space="preserve">” localizat în Comuna Sasca Montană, Sat Sasca Montană, NC 33545, Județul Caraș-Severin </w:t>
      </w:r>
    </w:p>
    <w:p w:rsidR="007733A4" w:rsidRDefault="007733A4"/>
    <w:p w:rsidR="007733A4" w:rsidRDefault="00000000">
      <w:pPr>
        <w:rPr>
          <w:rFonts w:ascii="Times New Roman" w:hAnsi="Times New Roman" w:cs="Times New Roman"/>
          <w:b/>
          <w:bCs/>
          <w:sz w:val="24"/>
          <w:szCs w:val="24"/>
        </w:rPr>
      </w:pPr>
      <w:r>
        <w:rPr>
          <w:rFonts w:ascii="Times New Roman" w:eastAsia="Times New Roman" w:hAnsi="Times New Roman" w:cs="Times New Roman"/>
          <w:b/>
          <w:bCs/>
          <w:sz w:val="24"/>
          <w:szCs w:val="24"/>
        </w:rPr>
        <w:t>XIII. REZUMAT</w:t>
      </w:r>
    </w:p>
    <w:p w:rsidR="007733A4" w:rsidRDefault="00000000">
      <w:r>
        <w:rPr>
          <w:rFonts w:ascii="Times New Roman" w:eastAsia="Times New Roman" w:hAnsi="Times New Roman" w:cs="Times New Roman"/>
          <w:sz w:val="24"/>
          <w:szCs w:val="24"/>
        </w:rPr>
        <w:t xml:space="preserve"> XIII.1 Introducere</w:t>
      </w:r>
      <w:r>
        <w:t xml:space="preserve">  </w:t>
      </w:r>
    </w:p>
    <w:p w:rsidR="007733A4" w:rsidRDefault="00000000">
      <w:r>
        <w:t>Prezentul studiu de impact asupra sănătății populației este realizat ca urmare a solicitării reprezentantului legal al Primăriei Comunei Sasca Montană, beneficiarul proiectului de înființare a unui centru pentru colectarea deșeurilor prin aport voluntar – numit peste tot mai jos ”Centru” – care va fi înființat în Comuna Sasca Montană, Sat Sasca Montană, NC 33545, Județul Caraș-Severin. Implementarea proiectului de construire a Centrului – atât din punct de vedere operațional cât și din punct de vedere al interacțiunii cu mediul – include două etape distincte și succesive:</w:t>
      </w:r>
    </w:p>
    <w:p w:rsidR="007733A4" w:rsidRDefault="00000000">
      <w:r>
        <w:t xml:space="preserve"> i) Etapa de construire, care include toate activitățile de construcții-montaj premergătoare punerii în funcțiune. </w:t>
      </w:r>
    </w:p>
    <w:p w:rsidR="007733A4" w:rsidRDefault="00000000">
      <w:r>
        <w:t xml:space="preserve">ii) Etapa de exploatare, care include activitățile specifice, începând cu momentul punerii în funcțiune. Scopul prezentului studiu este evaluarea impactului tuturor activităților care se desfăşoară în Centru ori în legătură cu acesta asupra sănătăţii populaţiei rezidente în apropiere, în cele două etape menționate mai sus. </w:t>
      </w:r>
    </w:p>
    <w:p w:rsidR="007733A4" w:rsidRDefault="00000000">
      <w:r>
        <w:t xml:space="preserve">Centrul va fi amplasat pe un teren aflat în intravilanul vestiv al satului Sasca Montană. Terenul se află în domeniul public al comunei Sasca Montană, are categoria de folosință pășune, se identifică prin număr cadastral 33545 și are suprafața totală de 2500 mp. Regimul de vecinătate al amplasamentului este următorul: </w:t>
      </w:r>
      <w:r>
        <w:t xml:space="preserve"> La Nord – NC 34533 (strada Nerei), dincolo de care se găsește albia râului Nera. </w:t>
      </w:r>
      <w:r>
        <w:t> La Est – terenul cu NC 30276. Vecinătățile de la sud și vest nu sunt precizate în documentația furnizată. Zona locuită se află la est de amplasament. Cea mai apropiată locuință se găsește la aproximativ 242 m est-sud-est de amplasament. În zona amplasamentului nu se mai află alte obiective cu potential poluator. Centrul va asigura colectarea separată a deșeurilor menajere care nu pot fi colectate în sistem „door-to-door”, respectiv deșeuri reciclabile și biodeșeuri care nu pot fi colectate în pubelele individuale, precum și fluxurile speciale de deșeuri – deșeuri voluminoase, deșeuri textile, deșeuri din lemn, mobilier, deșeuri din anvelope, deșeuri de echipamente electrice și electronice, baterii uzate, deșeuri periculoase.</w:t>
      </w:r>
    </w:p>
    <w:p w:rsidR="007733A4" w:rsidRDefault="00000000">
      <w:r>
        <w:t>Accesul la utilități al Centrului se va face astfel:</w:t>
      </w:r>
    </w:p>
    <w:p w:rsidR="007733A4" w:rsidRDefault="00000000">
      <w:r>
        <w:lastRenderedPageBreak/>
        <w:t xml:space="preserve"> </w:t>
      </w:r>
      <w:r>
        <w:t> Nu există sursă de apă pe amplasament. Apa potabilă va fi asigurată din surse externe sub formă îmbuteliată. Apa ”pentru uz menajer (cele 2 grupuri sanitare) și pentru spălarea curții și stropirea spațiilor verzi va fi asigurată dintr-un bazin de retenție.”</w:t>
      </w:r>
    </w:p>
    <w:p w:rsidR="007733A4" w:rsidRDefault="00000000">
      <w:r>
        <w:t xml:space="preserve"> </w:t>
      </w:r>
      <w:r>
        <w:t xml:space="preserve"> Alimentarea cu energie electrică se realizează prin racord electric la rețeaua existentă în zonă. </w:t>
      </w:r>
    </w:p>
    <w:p w:rsidR="007733A4" w:rsidRDefault="00000000">
      <w:r>
        <w:t xml:space="preserve">Funcțiunile suport pentru desfășurarea activității vor fi asigurate astfel: </w:t>
      </w:r>
    </w:p>
    <w:p w:rsidR="007733A4" w:rsidRDefault="00000000">
      <w:pPr>
        <w:pStyle w:val="Listparagraf"/>
        <w:numPr>
          <w:ilvl w:val="0"/>
          <w:numId w:val="1"/>
        </w:numPr>
      </w:pPr>
      <w:r>
        <w:t xml:space="preserve"> Apele uzate fecaloid-menajere de la grupul sanitar vor fi colectate într-un rezervor subteran vidanjabil cu capacitatea de 8 mc. </w:t>
      </w:r>
    </w:p>
    <w:p w:rsidR="007733A4" w:rsidRDefault="00000000">
      <w:pPr>
        <w:pStyle w:val="Listparagraf"/>
        <w:numPr>
          <w:ilvl w:val="0"/>
          <w:numId w:val="1"/>
        </w:numPr>
      </w:pPr>
      <w:r>
        <w:t xml:space="preserve"> Apele meteorice de pe platforma betonată vor fi dirijate către un separator de hidrocarburi cu debitul de 30 l/s, de unde, după pre-epurare, vor fi evacuate în rețeaua publică de canalizare. </w:t>
      </w:r>
    </w:p>
    <w:p w:rsidR="007733A4" w:rsidRDefault="00000000">
      <w:pPr>
        <w:pStyle w:val="Listparagraf"/>
        <w:numPr>
          <w:ilvl w:val="0"/>
          <w:numId w:val="1"/>
        </w:numPr>
      </w:pPr>
      <w:r>
        <w:t xml:space="preserve">Iluminatul și supravegherea video vor fi asigurate de pe 8 stâlpi amplasați perimetral. Accesul pe amplasament – auto și pietonal – se va face din strada Nerei situată la partea de nord. </w:t>
      </w:r>
    </w:p>
    <w:p w:rsidR="007733A4" w:rsidRDefault="00000000">
      <w:pPr>
        <w:ind w:left="709"/>
      </w:pPr>
      <w:r>
        <w:t xml:space="preserve">Operațiunile specifice care se vor desfășura în Centru sunt următoarele: </w:t>
      </w:r>
    </w:p>
    <w:p w:rsidR="007733A4" w:rsidRDefault="00000000">
      <w:pPr>
        <w:ind w:left="709"/>
      </w:pPr>
      <w:r>
        <w:t xml:space="preserve"> Recepția deșeurilor aduse voluntar de membrii comunității, cu mijloace de transport personale. </w:t>
      </w:r>
    </w:p>
    <w:p w:rsidR="007733A4" w:rsidRDefault="00000000">
      <w:pPr>
        <w:ind w:left="709"/>
      </w:pPr>
      <w:r>
        <w:t xml:space="preserve"> Depozitarea deșeurilor pe categorii în containerele special destinate. </w:t>
      </w:r>
    </w:p>
    <w:p w:rsidR="007733A4" w:rsidRDefault="00000000">
      <w:pPr>
        <w:ind w:left="709"/>
      </w:pPr>
      <w:r>
        <w:t xml:space="preserve"> Livrarea containerelor către procesatori autorizați pentru fiecare tip de deșeu. Traseul propus pentru deplasarea la amplasament a autovehiculelor care vor transporta containerele cu deșeuri la operatorii autorizați este: strada Nerei – drumul județean DJ 571 spre sud (spre Moldova Nouă, cu traversarea satului Sasca Montană) sau spre nord (spre Oravița, fără a trece prin zona locuită). </w:t>
      </w:r>
    </w:p>
    <w:p w:rsidR="007733A4" w:rsidRDefault="00000000">
      <w:pPr>
        <w:ind w:left="709"/>
      </w:pPr>
      <w:r>
        <w:t>Impactul asupra sănătății populației se realizează prin intermediul factorilor de mediu.</w:t>
      </w:r>
    </w:p>
    <w:p w:rsidR="007733A4" w:rsidRDefault="00000000">
      <w:pPr>
        <w:ind w:left="709"/>
      </w:pPr>
      <w:r>
        <w:t xml:space="preserve"> În etapa de construire, factorii de mediu asupra cărora activitățile desfășurate în pe amplasament (ori în legătură cu acestea) exercită impact sunt: </w:t>
      </w:r>
    </w:p>
    <w:p w:rsidR="007733A4" w:rsidRDefault="00000000">
      <w:pPr>
        <w:ind w:left="709"/>
      </w:pPr>
      <w:r>
        <w:t> Aerul</w:t>
      </w:r>
    </w:p>
    <w:p w:rsidR="007733A4" w:rsidRDefault="00000000">
      <w:pPr>
        <w:ind w:left="709"/>
      </w:pPr>
      <w:r>
        <w:t> Zgomotul</w:t>
      </w:r>
    </w:p>
    <w:p w:rsidR="007733A4" w:rsidRDefault="00000000">
      <w:pPr>
        <w:ind w:left="709"/>
      </w:pPr>
      <w:r>
        <w:t>l</w:t>
      </w:r>
      <w:r>
        <w:t> Solul</w:t>
      </w:r>
    </w:p>
    <w:p w:rsidR="007733A4" w:rsidRDefault="00000000">
      <w:pPr>
        <w:ind w:left="709"/>
      </w:pPr>
      <w:r>
        <w:t xml:space="preserve"> </w:t>
      </w:r>
      <w:r>
        <w:t xml:space="preserve"> Apa </w:t>
      </w:r>
    </w:p>
    <w:p w:rsidR="007733A4" w:rsidRDefault="00000000">
      <w:pPr>
        <w:ind w:left="709"/>
      </w:pPr>
      <w:r>
        <w:t>În etapa de exploatare, factorii de mediu asupra cărora activitățile desfășurate pe amplasament (ori în legătură cu acestea) exercită impact sunt:</w:t>
      </w:r>
    </w:p>
    <w:p w:rsidR="007733A4" w:rsidRDefault="00000000">
      <w:pPr>
        <w:ind w:left="709"/>
      </w:pPr>
      <w:r>
        <w:t xml:space="preserve"> Aerul </w:t>
      </w:r>
    </w:p>
    <w:p w:rsidR="007733A4" w:rsidRDefault="00000000">
      <w:pPr>
        <w:ind w:left="709"/>
      </w:pPr>
      <w:r>
        <w:t xml:space="preserve"> Mirosul </w:t>
      </w:r>
    </w:p>
    <w:p w:rsidR="007733A4" w:rsidRDefault="00000000">
      <w:pPr>
        <w:ind w:left="709"/>
      </w:pPr>
      <w:r>
        <w:t xml:space="preserve"> Vectorii </w:t>
      </w:r>
    </w:p>
    <w:p w:rsidR="007733A4" w:rsidRDefault="00000000">
      <w:pPr>
        <w:ind w:left="709"/>
      </w:pPr>
      <w:r>
        <w:t xml:space="preserve"> Zgomotul </w:t>
      </w:r>
    </w:p>
    <w:p w:rsidR="007733A4" w:rsidRDefault="00000000">
      <w:pPr>
        <w:ind w:left="709"/>
      </w:pPr>
      <w:r>
        <w:t xml:space="preserve"> Solul </w:t>
      </w:r>
    </w:p>
    <w:p w:rsidR="007733A4" w:rsidRDefault="00000000">
      <w:pPr>
        <w:ind w:left="709"/>
      </w:pPr>
      <w:r>
        <w:t xml:space="preserve"> Apa </w:t>
      </w:r>
    </w:p>
    <w:p w:rsidR="007733A4" w:rsidRDefault="007733A4">
      <w:pPr>
        <w:ind w:left="709"/>
      </w:pPr>
    </w:p>
    <w:p w:rsidR="007733A4" w:rsidRDefault="00000000">
      <w:pPr>
        <w:ind w:left="709"/>
        <w:rPr>
          <w:rFonts w:ascii="Times New Roman" w:hAnsi="Times New Roman" w:cs="Times New Roman"/>
          <w:b/>
          <w:bCs/>
          <w:sz w:val="24"/>
          <w:szCs w:val="24"/>
        </w:rPr>
      </w:pPr>
      <w:r>
        <w:rPr>
          <w:rFonts w:ascii="Times New Roman" w:eastAsia="Times New Roman" w:hAnsi="Times New Roman" w:cs="Times New Roman"/>
          <w:b/>
          <w:bCs/>
          <w:sz w:val="24"/>
          <w:szCs w:val="24"/>
        </w:rPr>
        <w:t>XIII.2 Măsuri/Recomandări</w:t>
      </w:r>
    </w:p>
    <w:p w:rsidR="007733A4" w:rsidRDefault="00000000">
      <w:pPr>
        <w:ind w:left="709"/>
      </w:pPr>
      <w:r>
        <w:t xml:space="preserve"> Prevenirea apariției factorilor de risc și protejarea sănătății populației, precum și a unui disconfort creat acesteia, se pot face prin adoptarea unor măsuri și/sau recomandări în cele două etape ale proiectului de construire a Centrului, etapa de construire și etapa de exploatare. </w:t>
      </w:r>
    </w:p>
    <w:p w:rsidR="007733A4" w:rsidRDefault="00000000">
      <w:pPr>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XIII.2.1 În etapa de construire</w:t>
      </w:r>
    </w:p>
    <w:p w:rsidR="007733A4" w:rsidRDefault="00000000">
      <w:pPr>
        <w:ind w:left="709"/>
      </w:pPr>
      <w:r>
        <w:rPr>
          <w:rFonts w:ascii="Times New Roman" w:eastAsia="Times New Roman" w:hAnsi="Times New Roman" w:cs="Times New Roman"/>
          <w:sz w:val="24"/>
          <w:szCs w:val="24"/>
        </w:rPr>
        <w:t xml:space="preserve"> </w:t>
      </w:r>
      <w:r>
        <w:t xml:space="preserve">Pentru etapa de construire, prima măsură care trebuie impusă este, pe cât posibil, respectarea termenului de execuție a lucrării. </w:t>
      </w:r>
    </w:p>
    <w:p w:rsidR="007733A4" w:rsidRDefault="00000000">
      <w:pPr>
        <w:ind w:left="709"/>
      </w:pPr>
      <w:r>
        <w:t xml:space="preserve"> 1. *A+ *Z+ *S+ *Ap+ Se va asigura verificarea periodică a stării tehnice a utilajelor și a mijloacelor de transport cu acces în șantier. </w:t>
      </w:r>
    </w:p>
    <w:p w:rsidR="007733A4" w:rsidRDefault="00000000">
      <w:pPr>
        <w:ind w:left="709"/>
      </w:pPr>
      <w:r>
        <w:t>2. [A] [Z] Circulația autovehiculelor pe amplasament se va face cu viteză redusă.</w:t>
      </w:r>
    </w:p>
    <w:p w:rsidR="007733A4" w:rsidRDefault="00000000">
      <w:pPr>
        <w:ind w:left="709" w:hanging="709"/>
      </w:pPr>
      <w:r>
        <w:t xml:space="preserve">           3. [A] [Z] Motoarele autovehiculelor și utilajelor vor fi pornite doar pe perioada utilizării       acestora. </w:t>
      </w:r>
    </w:p>
    <w:p w:rsidR="007733A4" w:rsidRDefault="00000000">
      <w:pPr>
        <w:ind w:left="709"/>
      </w:pPr>
      <w:r>
        <w:t>4. *A+ Materialele vrac pulverulente cu granulație fină vor fi transportate cu mijloace de transport adecvate, prevăzute cu prelată și se vor depozita în zone îngrădite și acoperite (sau se vor acoperi).</w:t>
      </w:r>
    </w:p>
    <w:p w:rsidR="007733A4" w:rsidRDefault="00000000">
      <w:pPr>
        <w:ind w:left="709"/>
      </w:pPr>
      <w:r>
        <w:t xml:space="preserve"> 5. *A+ În perioadele secetoase și cu vânt, se va proceda la umezirea maselor de pământ dizlocate prin săpături.</w:t>
      </w:r>
    </w:p>
    <w:p w:rsidR="007733A4" w:rsidRDefault="00000000">
      <w:pPr>
        <w:ind w:left="709"/>
      </w:pPr>
      <w:r>
        <w:t xml:space="preserve"> 6. *A+ Se va evita pe cât posibil efectuarea operațiunilor de manipulare a materialelor pulverulente (pământ din excavații, nisip) atunci când vântul suflă cu viteză mare (dacă nu se pot asigura mijloace de prevenire a ridicării în atmosferă a prafului).</w:t>
      </w:r>
    </w:p>
    <w:p w:rsidR="007733A4" w:rsidRDefault="00000000">
      <w:pPr>
        <w:ind w:left="709"/>
      </w:pPr>
      <w:r>
        <w:t xml:space="preserve"> 7. *Z+ Se va face monitorizarea periodică a zgomotului și vibrațiilor generate în incinta șantierului. În punctele de lucru în care se constată niveluri ridicate ale zgomotului se vor lua măsuri de protecție antifonică (spre exemplu, montarea de panouri fonoabsorbante mobile). </w:t>
      </w:r>
    </w:p>
    <w:p w:rsidR="007733A4" w:rsidRDefault="00000000">
      <w:pPr>
        <w:ind w:left="709"/>
      </w:pPr>
      <w:r>
        <w:t xml:space="preserve">8. *Z+ Se va evita efectuarea de operații generatoare de zgomot în timpul orelor de liniște. </w:t>
      </w:r>
    </w:p>
    <w:p w:rsidR="007733A4" w:rsidRDefault="00000000">
      <w:pPr>
        <w:ind w:left="709"/>
      </w:pPr>
      <w:r>
        <w:t xml:space="preserve">9. [Z] Se va evita utilizarea de dispozitive/mijloace acustice de semnalizare (alarme, sirene etc.) cu excepția cazurilor în care sunt absolut necesare desfășurării activității în acord cu normele de protecția muncii. </w:t>
      </w:r>
    </w:p>
    <w:p w:rsidR="007733A4" w:rsidRDefault="00000000">
      <w:pPr>
        <w:ind w:left="709"/>
      </w:pPr>
      <w:r>
        <w:t xml:space="preserve">10. *Z+ Se va evita utilizarea utilajelor (macara, încărcător frontal, compresor, grup electrogen etc.) și a sculelor electrice zgomotoase (ciocan demolator-picamăr, ciocan rotopercutor etc.) în timpul orelor de liniște (22.00 – 7.00 și 13.00 – 14.00). În aceleași intervale orare se vor evita lucrările generatoare de zgomot (turnări de betoane, asfalt etc.). </w:t>
      </w:r>
    </w:p>
    <w:p w:rsidR="007733A4" w:rsidRDefault="00000000">
      <w:pPr>
        <w:ind w:left="709"/>
      </w:pPr>
      <w:r>
        <w:t xml:space="preserve">11. *Z+ Se vor evita, pe cât posibil, lucrările și/sau transportul de materiale în șantier pe timpul nopții.  </w:t>
      </w:r>
    </w:p>
    <w:p w:rsidR="007733A4" w:rsidRDefault="00000000">
      <w:pPr>
        <w:ind w:left="709"/>
      </w:pPr>
      <w:r>
        <w:t xml:space="preserve">12. *Ap+ Materialele vrac (nisip, pietriș) se pot depozita direct pe sol, în zone prevăzute cu șanțuri perimetrale de gardă (care vor întreținute pentru a preveni colmatarea). </w:t>
      </w:r>
    </w:p>
    <w:p w:rsidR="007733A4" w:rsidRDefault="00000000">
      <w:pPr>
        <w:ind w:left="709"/>
      </w:pPr>
      <w:r>
        <w:t xml:space="preserve">13. *S+ *Ap+ Se va amenaja în apropierea căii de acces auto a unei zone pentru spălarea roților autovehiculelor la ieșirea de pe amplasament. Aceasta va fi impermeabilizată, va fi alimentată la o sursă de apă și va fi prevăzută cu un separator de hidrocarburi. Apa preepurată va fi dirijată către bazinul de retenție. Separatorul de hidrocarburi va fi menținut în parametrii de funcționare iar nămolul colectat va fi îndepărtat periodic sau ori de câte ori este nevoie de operatori specializați, cu asigurarea încadrării în valorile impuse de NTPA-002. </w:t>
      </w:r>
    </w:p>
    <w:p w:rsidR="007733A4" w:rsidRDefault="00000000">
      <w:pPr>
        <w:ind w:left="709"/>
      </w:pPr>
      <w:r>
        <w:t xml:space="preserve">14. *S+ *Ap+ Utilajele și mijloacele de transport vor staționa pe platforme betonate sau, dacă nu este posibil, pe suprafețe impermeabilizate. </w:t>
      </w:r>
    </w:p>
    <w:p w:rsidR="007733A4" w:rsidRDefault="00000000">
      <w:pPr>
        <w:ind w:left="709"/>
      </w:pPr>
      <w:r>
        <w:t xml:space="preserve">15. *S+ *Ap+ Dacă are loc o scurgere accidentală de hidrocarburi pe platformă betonată, se intervine cu un absorbant pentru hidrocarburi (preferabil unul biodegradabil, pentru a putea fi eliminat ca deșeu nepericulos). Dacă scurgerea accidentală are loc direct pe sol, pământul astfel poluat va fi îndepărtat și va fi tratat ca deșeu de ”pământ și pietre cu conținut de substanțe periculoase” – cod 170503* și va fi predat unei societăți specializate în transportul, neutralizarea și eliminarea acestui tip de deșeu. </w:t>
      </w:r>
    </w:p>
    <w:p w:rsidR="007733A4" w:rsidRDefault="00000000">
      <w:pPr>
        <w:ind w:left="709"/>
      </w:pPr>
      <w:r>
        <w:t xml:space="preserve">16. [S] [Ap] [A] Se vor instala toalete ecologice, care vor fi vidanjate și curățate periodic sau ori de câte ori este nevoie de firme specializate și autorizate. </w:t>
      </w:r>
    </w:p>
    <w:p w:rsidR="007733A4" w:rsidRDefault="00000000">
      <w:pPr>
        <w:ind w:left="709"/>
      </w:pPr>
      <w:r>
        <w:t xml:space="preserve">17. *S+ Se va limita pe cât posibil suprafața utilizată efectiv pentru lucrările din șantier, în special porțiunile de sol descoperit. </w:t>
      </w:r>
    </w:p>
    <w:p w:rsidR="007733A4" w:rsidRDefault="00000000">
      <w:pPr>
        <w:ind w:left="709"/>
      </w:pPr>
      <w:r>
        <w:t xml:space="preserve">18. *Ap+ Nu se vor executa lucrări de excavație în condiții meteorologice extreme (ploaie, vânt puternic). </w:t>
      </w:r>
    </w:p>
    <w:p w:rsidR="007733A4" w:rsidRDefault="00000000">
      <w:pPr>
        <w:ind w:left="709"/>
      </w:pPr>
      <w:r>
        <w:t xml:space="preserve">19. *D+ *Ap+ *A+ Deșeurile vor fi colectate selectiv conform normativelor în vigoare, în spații special amenajate și vor fi evacuate de pe amplasament prin intermediul unor firme specializate. </w:t>
      </w:r>
    </w:p>
    <w:p w:rsidR="007733A4" w:rsidRDefault="00000000">
      <w:pPr>
        <w:ind w:left="709"/>
      </w:pPr>
      <w:r>
        <w:t>20. *D+ *A+ Deșeurile din construcții vor fi colectate în containere închise iar evacuarea lor de pe amplasament se va face ca atare sau cu mijloace de transport acoperite.</w:t>
      </w:r>
    </w:p>
    <w:p w:rsidR="007733A4" w:rsidRDefault="00000000">
      <w:pPr>
        <w:ind w:left="709"/>
      </w:pPr>
      <w:r>
        <w:t xml:space="preserve"> 21. *R+ Pe cât posibil se va evita deplasarea autovehiculelor cu tonaj mare care transportă materiale, deșeuri etc. prin zonele locuite în timpul orelor de liniște (22.00 – 7.00 și 13.00 – 14.00).</w:t>
      </w:r>
    </w:p>
    <w:p w:rsidR="007733A4" w:rsidRDefault="00000000">
      <w:pPr>
        <w:ind w:left="709"/>
      </w:pPr>
      <w:r>
        <w:t xml:space="preserve"> 22. [R] Va fi inițiată și menținută, pe tot parcursul derulării etapei de construire, o comunicare permanentă cu comunitatea învecinată cu privire la modul în care decurg lucrările de construire a Centrului. </w:t>
      </w:r>
    </w:p>
    <w:p w:rsidR="007733A4" w:rsidRDefault="00000000">
      <w:pPr>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XIII.2.2 În etapa de exploatare</w:t>
      </w:r>
    </w:p>
    <w:p w:rsidR="007733A4" w:rsidRDefault="00000000">
      <w:pPr>
        <w:ind w:left="709"/>
      </w:pPr>
      <w:r>
        <w:t xml:space="preserve">În consecință, pentru prevenirea apariției factorilor de risc și protejarea sănătății populației se impun următoarele măsuri obligatorii: </w:t>
      </w:r>
    </w:p>
    <w:p w:rsidR="007733A4" w:rsidRDefault="00000000">
      <w:pPr>
        <w:ind w:left="709"/>
      </w:pPr>
      <w:r>
        <w:t>1. *A+, *Z+ Toate autovehiculele care sosesc la amplasament vor fi menținute în parametri optimi de funcționare, respectiv cu inspecțiile tehnice periodice, efectuate de entități autorizate, în termenul legal sau cu revizii tehnice ori de câte ori este nevoie.</w:t>
      </w:r>
    </w:p>
    <w:p w:rsidR="007733A4" w:rsidRDefault="00000000">
      <w:pPr>
        <w:ind w:left="709"/>
      </w:pPr>
      <w:r>
        <w:t xml:space="preserve"> 2. [S], [Ap] Nu va fi permis accesul pe amplasament autovehiculelor care prezintă scurgeri de ulei ori combustibil. Dacă totuși se întâmplă ca astfel de scugeri să aibă loc pe circulațiile betonate, trebuie intervenit imediat un absorbant pentru hidrocarburi (preferabil unul biodegradabil, pentru a putea fi eliminat ca deșeu nepericulos). </w:t>
      </w:r>
    </w:p>
    <w:p w:rsidR="007733A4" w:rsidRDefault="00000000">
      <w:pPr>
        <w:ind w:left="709"/>
      </w:pPr>
      <w:r>
        <w:t>3. [A] La transportul containerelor deschise încărcate de la Centru va fi utilizată o prelată.</w:t>
      </w:r>
    </w:p>
    <w:p w:rsidR="007733A4" w:rsidRDefault="00000000">
      <w:pPr>
        <w:ind w:left="709"/>
      </w:pPr>
      <w:r>
        <w:t xml:space="preserve"> 4. *A+ Ori de câte ori este nevoie, dar cu precădere în zilele toride și secetoase, circulațiile din zona de acces a Centrului vor fi stropite, la intervale regulate, cu apă sau cu alte substanțe de fixare a prafului. </w:t>
      </w:r>
    </w:p>
    <w:p w:rsidR="007733A4" w:rsidRDefault="00000000">
      <w:pPr>
        <w:ind w:left="709"/>
      </w:pPr>
      <w:r>
        <w:t xml:space="preserve">5. [Z] Se vor evita pe cât posibil manevrele de încărcare/descărcare a containerelor cu deșeuri în în timpul orelor de liniște (22.00 – 7.00 și 13.00 – 14.00). </w:t>
      </w:r>
    </w:p>
    <w:p w:rsidR="007733A4" w:rsidRDefault="00000000">
      <w:pPr>
        <w:ind w:left="709"/>
      </w:pPr>
      <w:r>
        <w:t xml:space="preserve">6. [A], [Z] Motoarele autovehiculelor sosite pe amplasament vor fi oprite pe perioada încărcării/descărcării containerelor cu deșeuri. </w:t>
      </w:r>
    </w:p>
    <w:p w:rsidR="007733A4" w:rsidRDefault="00000000">
      <w:pPr>
        <w:ind w:left="709"/>
      </w:pPr>
      <w:r>
        <w:t xml:space="preserve">7. [Z] Se va interzice utilizarea pe amplasament a claxoanelor ori a altor mijloace de semnalizare sonoră. </w:t>
      </w:r>
    </w:p>
    <w:p w:rsidR="007733A4" w:rsidRDefault="00000000">
      <w:pPr>
        <w:ind w:left="709"/>
      </w:pPr>
      <w:r>
        <w:t xml:space="preserve">8. *S+, *Ap+ Separatorul de hidrocarburi va fi întreținut conform specificațiilor furnizorului; nămolul acumulat va fi tratat ca deșeu periculos (cod 130502*) și va fi eliminat printr-un operator autorizat ori de câte ori se va dovedi necesar. </w:t>
      </w:r>
    </w:p>
    <w:p w:rsidR="007733A4" w:rsidRDefault="00000000">
      <w:pPr>
        <w:ind w:left="709"/>
      </w:pPr>
      <w:r>
        <w:t xml:space="preserve">9. *M+, *V+ Se va păstra curățenia pe întreg amplasamentul. </w:t>
      </w:r>
    </w:p>
    <w:p w:rsidR="007733A4" w:rsidRDefault="00000000">
      <w:pPr>
        <w:ind w:left="709"/>
      </w:pPr>
      <w:r>
        <w:t>10. [M], [V] După fiecare ridicare a deșeurilor menajere de către operatorul de salubritate, europubelele vor fi curățate și spălate, preferabil cu produse biodegradabile. 11. [M], [V], [S], [Ap] Rețeaua interioară de colectare a apelor uzate va fi menținută în stare de funcționare (prin curățare, îndepărtarea de resturi solide, decolmatare).</w:t>
      </w:r>
    </w:p>
    <w:p w:rsidR="007733A4" w:rsidRDefault="00000000">
      <w:pPr>
        <w:ind w:left="709"/>
      </w:pPr>
      <w:r>
        <w:t xml:space="preserve"> 12. [V], [M] Se vor efectua periodic operațiunile de dezinfecție, dezinsecție și deratizare. Toate aceste operațiuni vor fi efectuate cu firme care fac dovada certificării conformității cu normele de igienă și sănătate publică, cu ritmicitatea impusă de legislația sanitară în vigoare. </w:t>
      </w:r>
    </w:p>
    <w:p w:rsidR="007733A4" w:rsidRDefault="00000000">
      <w:pPr>
        <w:ind w:left="709"/>
      </w:pPr>
      <w:r>
        <w:t>13. *A+, *Z+, *M+ Se va face întreține zona verde din proximitate prin lucrări specifice (regenerare, refacere, ameliorare și îngrijire).</w:t>
      </w:r>
    </w:p>
    <w:p w:rsidR="007733A4" w:rsidRDefault="00000000">
      <w:r>
        <w:t xml:space="preserve">           14. [V] Se vor face operațiuni de dezinsecție în zona verde din proximitate. </w:t>
      </w:r>
    </w:p>
    <w:p w:rsidR="007733A4" w:rsidRDefault="00000000">
      <w:pPr>
        <w:ind w:left="709"/>
      </w:pPr>
      <w:r>
        <w:t xml:space="preserve">15. *M+ Se va întocmi ”Planul de gestionare a disconfortului olfactiv” pentru Centru, în conformitate cu Legea pentru modificarea și completarea Ordonanței de urgență a Guvernului nr. 195/2005 privind protecția mediului. </w:t>
      </w:r>
    </w:p>
    <w:p w:rsidR="007733A4" w:rsidRDefault="00000000">
      <w:pPr>
        <w:ind w:left="709"/>
      </w:pPr>
      <w:r>
        <w:t>16. *R+ Se va întocmi un Regulament de Organizare și Funcționare prin care să fie reglementată o perioadă maximă de stocare pe amplasament pentru fiecare tip de deșeu și, în același timp, evitată depășirea capacității de stocare pentru fiecare tip de deșeu. Acest Regulament va fi adus la cunoștința cetățenilor localității.</w:t>
      </w:r>
    </w:p>
    <w:p w:rsidR="007733A4" w:rsidRDefault="00000000">
      <w:pPr>
        <w:ind w:left="709"/>
      </w:pPr>
      <w:r>
        <w:t xml:space="preserve">17. *R+ Pe cât posibil se va evita deplasarea autovehiculelor care transportă deșeuri prin zonele locuite în timpul orelor de liniște (22.00 – 7.00 și 13.00 – 14.00). </w:t>
      </w:r>
    </w:p>
    <w:p w:rsidR="007733A4" w:rsidRDefault="00000000">
      <w:pPr>
        <w:ind w:left="709"/>
      </w:pPr>
      <w:r>
        <w:t xml:space="preserve">18. *R+ Va fi inițiat un proces de dialog proactiv cu comunitatea potențial afectată din vecinătate – în care eventual poate fi implicat un facilitator profesionist - în scopul creșterii nivelului de acceptabilitate socială de către comunitate în legătură cu activitățile desfășurate pe amplasament. </w:t>
      </w:r>
    </w:p>
    <w:p w:rsidR="007733A4" w:rsidRDefault="00000000">
      <w:pPr>
        <w:ind w:left="709"/>
        <w:rPr>
          <w:rFonts w:ascii="Times New Roman" w:hAnsi="Times New Roman" w:cs="Times New Roman"/>
          <w:b/>
          <w:bCs/>
          <w:sz w:val="24"/>
          <w:szCs w:val="24"/>
        </w:rPr>
      </w:pPr>
      <w:r>
        <w:rPr>
          <w:rFonts w:ascii="Times New Roman" w:eastAsia="Times New Roman" w:hAnsi="Times New Roman" w:cs="Times New Roman"/>
          <w:b/>
          <w:bCs/>
          <w:sz w:val="24"/>
          <w:szCs w:val="24"/>
        </w:rPr>
        <w:t xml:space="preserve">XIII.3 Concluzii finale </w:t>
      </w:r>
    </w:p>
    <w:p w:rsidR="007733A4" w:rsidRDefault="00000000">
      <w:pPr>
        <w:ind w:left="709"/>
      </w:pPr>
      <w:r>
        <w:t>Referitor la obiectivul funcțional ” ÎNFIINȚAREA UNUI CENTRU DE COLECTARE A DEȘEURILOR PRIN APORT VOLUNTAR ÎN ÎN COMUNA SASCA MONTANĂ, JUDEȚUL CARAȘ-SEVERIN” care va funcționa în Comuna Sasca Montană, Sat Sasca Montană, NC 33545, Județul Caraș-Severin, concluziile finale sunt următoarele:</w:t>
      </w:r>
    </w:p>
    <w:p w:rsidR="007733A4" w:rsidRDefault="00000000">
      <w:r>
        <w:t xml:space="preserve">           1. Construirea Centrului în comunitatea rurală va avea o evidentă utilitate socială. </w:t>
      </w:r>
    </w:p>
    <w:p w:rsidR="007733A4" w:rsidRDefault="00000000">
      <w:pPr>
        <w:ind w:left="709"/>
      </w:pPr>
      <w:r>
        <w:t xml:space="preserve">2. Dacă sunt implementate măsurile și recomandările de la capitolul XIII.2 din prezentul rezumat, sunt create premisele diminuării unui eventual impact negativ asupra sănătății populației din comunitatea învecinată, precum și a unui eventual disconfort creat acesteia. </w:t>
      </w:r>
    </w:p>
    <w:p w:rsidR="007733A4" w:rsidRDefault="00000000">
      <w:pPr>
        <w:ind w:left="709"/>
      </w:pPr>
      <w:r>
        <w:t xml:space="preserve">3. Prezentul studiu a fost elaborat pe baza documentelor și informațiilor furnizate de beneficiarul Centrului și surprinde starea actuală a structurii funcționale a acestuia, precum și două noi activități complementare. Orice modificare care poate surveni în viitor care poate altera semnificativ interacțiunea Centrului cu mediul înconjurător și/sau cu comunitatea învecinată, poate genera nevoia revizuirii prezentului studiu. </w:t>
      </w:r>
    </w:p>
    <w:p w:rsidR="007733A4" w:rsidRDefault="00000000">
      <w:pPr>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XIII.4 Declinarea responsabilității</w:t>
      </w:r>
    </w:p>
    <w:p w:rsidR="007733A4" w:rsidRDefault="00000000">
      <w:pPr>
        <w:ind w:left="709"/>
      </w:pPr>
      <w:r>
        <w:rPr>
          <w:rFonts w:ascii="Times New Roman" w:eastAsia="Times New Roman" w:hAnsi="Times New Roman" w:cs="Times New Roman"/>
          <w:sz w:val="24"/>
          <w:szCs w:val="24"/>
        </w:rPr>
        <w:t xml:space="preserve"> 1. HYGMASTER S.R.L.</w:t>
      </w:r>
      <w:r>
        <w:t xml:space="preserve"> nu-și asumă niciun fel de responsabilitate în legătură cu modul în care beneficiarul Centrului înțelege să implementeze măsurile/recomandările de la capitolul XIII.2 din prezentului rezumat. </w:t>
      </w:r>
    </w:p>
    <w:p w:rsidR="007733A4" w:rsidRDefault="00000000">
      <w:pPr>
        <w:ind w:left="709"/>
      </w:pPr>
      <w:r>
        <w:t>2. HYGMASTER S.R.L. nu-și asumă niciun fel de responsabilitate în eventualitatea declanșării unor conflicte între beneficiarul Centrului și comunitatea învecinată și nici în legătură cu modul în care acestea sunt gestionate.</w:t>
      </w:r>
    </w:p>
    <w:p w:rsidR="007733A4" w:rsidRDefault="007733A4">
      <w:pPr>
        <w:ind w:left="709"/>
      </w:pPr>
    </w:p>
    <w:p w:rsidR="007733A4" w:rsidRDefault="007733A4"/>
    <w:sectPr w:rsidR="007733A4">
      <w:footerReference w:type="default" r:id="rId7"/>
      <w:pgSz w:w="11906" w:h="16838"/>
      <w:pgMar w:top="1134" w:right="850" w:bottom="1134"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D11B3" w:rsidRDefault="00DD11B3">
      <w:pPr>
        <w:spacing w:after="0" w:line="240" w:lineRule="auto"/>
      </w:pPr>
      <w:r>
        <w:separator/>
      </w:r>
    </w:p>
  </w:endnote>
  <w:endnote w:type="continuationSeparator" w:id="0">
    <w:p w:rsidR="00DD11B3" w:rsidRDefault="00DD1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733A4" w:rsidRDefault="00000000">
    <w:pPr>
      <w:pStyle w:val="Subsol"/>
    </w:pPr>
    <w:r>
      <w:t>21 Recomandările - marcate cu [R] – sunt opționale, toate celelalte fiind măsuri obligatorii. 22 [A] Aer, [S] Sol, [Ap] Apă, [Z] Zgomot, [M] Mirosuri, [V] Vectori.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D11B3" w:rsidRDefault="00DD11B3">
      <w:pPr>
        <w:spacing w:after="0" w:line="240" w:lineRule="auto"/>
      </w:pPr>
      <w:r>
        <w:separator/>
      </w:r>
    </w:p>
  </w:footnote>
  <w:footnote w:type="continuationSeparator" w:id="0">
    <w:p w:rsidR="00DD11B3" w:rsidRDefault="00DD1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9C3B4E"/>
    <w:multiLevelType w:val="multilevel"/>
    <w:tmpl w:val="CB18E68C"/>
    <w:lvl w:ilvl="0">
      <w:start w:val="1"/>
      <w:numFmt w:val="bullet"/>
      <w:lvlText w:val="·"/>
      <w:lvlJc w:val="left"/>
      <w:pPr>
        <w:ind w:left="709" w:hanging="360"/>
      </w:pPr>
      <w:rPr>
        <w:rFonts w:ascii="Symbol" w:eastAsia="Symbol" w:hAnsi="Symbol" w:cs="Symbol" w:hint="default"/>
      </w:rPr>
    </w:lvl>
    <w:lvl w:ilvl="1">
      <w:start w:val="1"/>
      <w:numFmt w:val="bullet"/>
      <w:lvlText w:val="o"/>
      <w:lvlJc w:val="left"/>
      <w:pPr>
        <w:ind w:left="1429" w:hanging="360"/>
      </w:pPr>
      <w:rPr>
        <w:rFonts w:ascii="Courier New" w:eastAsia="Courier New" w:hAnsi="Courier New" w:cs="Courier New" w:hint="default"/>
      </w:rPr>
    </w:lvl>
    <w:lvl w:ilvl="2">
      <w:start w:val="1"/>
      <w:numFmt w:val="bullet"/>
      <w:lvlText w:val="§"/>
      <w:lvlJc w:val="left"/>
      <w:pPr>
        <w:ind w:left="2149" w:hanging="360"/>
      </w:pPr>
      <w:rPr>
        <w:rFonts w:ascii="Wingdings" w:eastAsia="Wingdings" w:hAnsi="Wingdings" w:cs="Wingdings" w:hint="default"/>
      </w:rPr>
    </w:lvl>
    <w:lvl w:ilvl="3">
      <w:start w:val="1"/>
      <w:numFmt w:val="bullet"/>
      <w:lvlText w:val="·"/>
      <w:lvlJc w:val="left"/>
      <w:pPr>
        <w:ind w:left="2869" w:hanging="360"/>
      </w:pPr>
      <w:rPr>
        <w:rFonts w:ascii="Symbol" w:eastAsia="Symbol" w:hAnsi="Symbol" w:cs="Symbol" w:hint="default"/>
      </w:rPr>
    </w:lvl>
    <w:lvl w:ilvl="4">
      <w:start w:val="1"/>
      <w:numFmt w:val="bullet"/>
      <w:lvlText w:val="o"/>
      <w:lvlJc w:val="left"/>
      <w:pPr>
        <w:ind w:left="3589" w:hanging="360"/>
      </w:pPr>
      <w:rPr>
        <w:rFonts w:ascii="Courier New" w:eastAsia="Courier New" w:hAnsi="Courier New" w:cs="Courier New" w:hint="default"/>
      </w:rPr>
    </w:lvl>
    <w:lvl w:ilvl="5">
      <w:start w:val="1"/>
      <w:numFmt w:val="bullet"/>
      <w:lvlText w:val="§"/>
      <w:lvlJc w:val="left"/>
      <w:pPr>
        <w:ind w:left="4309" w:hanging="360"/>
      </w:pPr>
      <w:rPr>
        <w:rFonts w:ascii="Wingdings" w:eastAsia="Wingdings" w:hAnsi="Wingdings" w:cs="Wingdings" w:hint="default"/>
      </w:rPr>
    </w:lvl>
    <w:lvl w:ilvl="6">
      <w:start w:val="1"/>
      <w:numFmt w:val="bullet"/>
      <w:lvlText w:val="·"/>
      <w:lvlJc w:val="left"/>
      <w:pPr>
        <w:ind w:left="5029" w:hanging="360"/>
      </w:pPr>
      <w:rPr>
        <w:rFonts w:ascii="Symbol" w:eastAsia="Symbol" w:hAnsi="Symbol" w:cs="Symbol" w:hint="default"/>
      </w:rPr>
    </w:lvl>
    <w:lvl w:ilvl="7">
      <w:start w:val="1"/>
      <w:numFmt w:val="bullet"/>
      <w:lvlText w:val="o"/>
      <w:lvlJc w:val="left"/>
      <w:pPr>
        <w:ind w:left="5749" w:hanging="360"/>
      </w:pPr>
      <w:rPr>
        <w:rFonts w:ascii="Courier New" w:eastAsia="Courier New" w:hAnsi="Courier New" w:cs="Courier New" w:hint="default"/>
      </w:rPr>
    </w:lvl>
    <w:lvl w:ilvl="8">
      <w:start w:val="1"/>
      <w:numFmt w:val="bullet"/>
      <w:lvlText w:val="§"/>
      <w:lvlJc w:val="left"/>
      <w:pPr>
        <w:ind w:left="6469" w:hanging="360"/>
      </w:pPr>
      <w:rPr>
        <w:rFonts w:ascii="Wingdings" w:eastAsia="Wingdings" w:hAnsi="Wingdings" w:cs="Wingdings" w:hint="default"/>
      </w:rPr>
    </w:lvl>
  </w:abstractNum>
  <w:num w:numId="1" w16cid:durableId="523831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3A4"/>
    <w:rsid w:val="0006296C"/>
    <w:rsid w:val="007733A4"/>
    <w:rsid w:val="00DD1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4358E-049B-4088-803E-05E23734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pPr>
      <w:keepNext/>
      <w:keepLines/>
      <w:spacing w:before="480"/>
      <w:outlineLvl w:val="0"/>
    </w:pPr>
    <w:rPr>
      <w:rFonts w:ascii="Arial" w:eastAsia="Arial" w:hAnsi="Arial" w:cs="Arial"/>
      <w:sz w:val="40"/>
      <w:szCs w:val="40"/>
    </w:rPr>
  </w:style>
  <w:style w:type="paragraph" w:styleId="Titlu2">
    <w:name w:val="heading 2"/>
    <w:basedOn w:val="Normal"/>
    <w:next w:val="Normal"/>
    <w:link w:val="Titlu2Caracter"/>
    <w:uiPriority w:val="9"/>
    <w:unhideWhenUsed/>
    <w:qFormat/>
    <w:pPr>
      <w:keepNext/>
      <w:keepLines/>
      <w:spacing w:before="360"/>
      <w:outlineLvl w:val="1"/>
    </w:pPr>
    <w:rPr>
      <w:rFonts w:ascii="Arial" w:eastAsia="Arial" w:hAnsi="Arial" w:cs="Arial"/>
      <w:sz w:val="34"/>
    </w:rPr>
  </w:style>
  <w:style w:type="paragraph" w:styleId="Titlu3">
    <w:name w:val="heading 3"/>
    <w:basedOn w:val="Normal"/>
    <w:next w:val="Normal"/>
    <w:link w:val="Titlu3Caracter"/>
    <w:uiPriority w:val="9"/>
    <w:unhideWhenUsed/>
    <w:qFormat/>
    <w:pPr>
      <w:keepNext/>
      <w:keepLines/>
      <w:spacing w:before="320"/>
      <w:outlineLvl w:val="2"/>
    </w:pPr>
    <w:rPr>
      <w:rFonts w:ascii="Arial" w:eastAsia="Arial" w:hAnsi="Arial" w:cs="Arial"/>
      <w:sz w:val="30"/>
      <w:szCs w:val="30"/>
    </w:rPr>
  </w:style>
  <w:style w:type="paragraph" w:styleId="Titlu4">
    <w:name w:val="heading 4"/>
    <w:basedOn w:val="Normal"/>
    <w:next w:val="Normal"/>
    <w:link w:val="Titlu4Caracter"/>
    <w:uiPriority w:val="9"/>
    <w:unhideWhenUsed/>
    <w:qFormat/>
    <w:pPr>
      <w:keepNext/>
      <w:keepLines/>
      <w:spacing w:before="320"/>
      <w:outlineLvl w:val="3"/>
    </w:pPr>
    <w:rPr>
      <w:rFonts w:ascii="Arial" w:eastAsia="Arial" w:hAnsi="Arial" w:cs="Arial"/>
      <w:b/>
      <w:bCs/>
      <w:sz w:val="26"/>
      <w:szCs w:val="26"/>
    </w:rPr>
  </w:style>
  <w:style w:type="paragraph" w:styleId="Titlu5">
    <w:name w:val="heading 5"/>
    <w:basedOn w:val="Normal"/>
    <w:next w:val="Normal"/>
    <w:link w:val="Titlu5Caracter"/>
    <w:uiPriority w:val="9"/>
    <w:unhideWhenUsed/>
    <w:qFormat/>
    <w:pPr>
      <w:keepNext/>
      <w:keepLines/>
      <w:spacing w:before="320"/>
      <w:outlineLvl w:val="4"/>
    </w:pPr>
    <w:rPr>
      <w:rFonts w:ascii="Arial" w:eastAsia="Arial" w:hAnsi="Arial" w:cs="Arial"/>
      <w:b/>
      <w:bCs/>
      <w:sz w:val="24"/>
      <w:szCs w:val="24"/>
    </w:rPr>
  </w:style>
  <w:style w:type="paragraph" w:styleId="Titlu6">
    <w:name w:val="heading 6"/>
    <w:basedOn w:val="Normal"/>
    <w:next w:val="Normal"/>
    <w:link w:val="Titlu6Caracter"/>
    <w:uiPriority w:val="9"/>
    <w:unhideWhenUsed/>
    <w:qFormat/>
    <w:pPr>
      <w:keepNext/>
      <w:keepLines/>
      <w:spacing w:before="320"/>
      <w:outlineLvl w:val="5"/>
    </w:pPr>
    <w:rPr>
      <w:rFonts w:ascii="Arial" w:eastAsia="Arial" w:hAnsi="Arial" w:cs="Arial"/>
      <w:b/>
      <w:bCs/>
    </w:rPr>
  </w:style>
  <w:style w:type="paragraph" w:styleId="Titlu7">
    <w:name w:val="heading 7"/>
    <w:basedOn w:val="Normal"/>
    <w:next w:val="Normal"/>
    <w:link w:val="Titlu7Caracter"/>
    <w:uiPriority w:val="9"/>
    <w:unhideWhenUsed/>
    <w:qFormat/>
    <w:pPr>
      <w:keepNext/>
      <w:keepLines/>
      <w:spacing w:before="320"/>
      <w:outlineLvl w:val="6"/>
    </w:pPr>
    <w:rPr>
      <w:rFonts w:ascii="Arial" w:eastAsia="Arial" w:hAnsi="Arial" w:cs="Arial"/>
      <w:b/>
      <w:bCs/>
      <w:i/>
      <w:iCs/>
    </w:rPr>
  </w:style>
  <w:style w:type="paragraph" w:styleId="Titlu8">
    <w:name w:val="heading 8"/>
    <w:basedOn w:val="Normal"/>
    <w:next w:val="Normal"/>
    <w:link w:val="Titlu8Caracter"/>
    <w:uiPriority w:val="9"/>
    <w:unhideWhenUsed/>
    <w:qFormat/>
    <w:pPr>
      <w:keepNext/>
      <w:keepLines/>
      <w:spacing w:before="320"/>
      <w:outlineLvl w:val="7"/>
    </w:pPr>
    <w:rPr>
      <w:rFonts w:ascii="Arial" w:eastAsia="Arial" w:hAnsi="Arial" w:cs="Arial"/>
      <w:i/>
      <w:iCs/>
    </w:rPr>
  </w:style>
  <w:style w:type="paragraph" w:styleId="Titlu9">
    <w:name w:val="heading 9"/>
    <w:basedOn w:val="Normal"/>
    <w:next w:val="Normal"/>
    <w:link w:val="Titlu9Caracter"/>
    <w:uiPriority w:val="9"/>
    <w:unhideWhenUsed/>
    <w:qFormat/>
    <w:pPr>
      <w:keepNext/>
      <w:keepLines/>
      <w:spacing w:before="320"/>
      <w:outlineLvl w:val="8"/>
    </w:pPr>
    <w:rPr>
      <w:rFonts w:ascii="Arial" w:eastAsia="Arial" w:hAnsi="Arial" w:cs="Arial"/>
      <w:i/>
      <w:iCs/>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
    <w:rPr>
      <w:rFonts w:ascii="Arial" w:eastAsia="Arial" w:hAnsi="Arial" w:cs="Arial"/>
      <w:sz w:val="40"/>
      <w:szCs w:val="40"/>
    </w:rPr>
  </w:style>
  <w:style w:type="character" w:customStyle="1" w:styleId="Titlu2Caracter">
    <w:name w:val="Titlu 2 Caracter"/>
    <w:link w:val="Titlu2"/>
    <w:uiPriority w:val="9"/>
    <w:rPr>
      <w:rFonts w:ascii="Arial" w:eastAsia="Arial" w:hAnsi="Arial" w:cs="Arial"/>
      <w:sz w:val="34"/>
    </w:rPr>
  </w:style>
  <w:style w:type="character" w:customStyle="1" w:styleId="Titlu3Caracter">
    <w:name w:val="Titlu 3 Caracter"/>
    <w:link w:val="Titlu3"/>
    <w:uiPriority w:val="9"/>
    <w:rPr>
      <w:rFonts w:ascii="Arial" w:eastAsia="Arial" w:hAnsi="Arial" w:cs="Arial"/>
      <w:sz w:val="30"/>
      <w:szCs w:val="30"/>
    </w:rPr>
  </w:style>
  <w:style w:type="character" w:customStyle="1" w:styleId="Titlu4Caracter">
    <w:name w:val="Titlu 4 Caracter"/>
    <w:link w:val="Titlu4"/>
    <w:uiPriority w:val="9"/>
    <w:rPr>
      <w:rFonts w:ascii="Arial" w:eastAsia="Arial" w:hAnsi="Arial" w:cs="Arial"/>
      <w:b/>
      <w:bCs/>
      <w:sz w:val="26"/>
      <w:szCs w:val="26"/>
    </w:rPr>
  </w:style>
  <w:style w:type="character" w:customStyle="1" w:styleId="Titlu5Caracter">
    <w:name w:val="Titlu 5 Caracter"/>
    <w:link w:val="Titlu5"/>
    <w:uiPriority w:val="9"/>
    <w:rPr>
      <w:rFonts w:ascii="Arial" w:eastAsia="Arial" w:hAnsi="Arial" w:cs="Arial"/>
      <w:b/>
      <w:bCs/>
      <w:sz w:val="24"/>
      <w:szCs w:val="24"/>
    </w:rPr>
  </w:style>
  <w:style w:type="character" w:customStyle="1" w:styleId="Titlu6Caracter">
    <w:name w:val="Titlu 6 Caracter"/>
    <w:link w:val="Titlu6"/>
    <w:uiPriority w:val="9"/>
    <w:rPr>
      <w:rFonts w:ascii="Arial" w:eastAsia="Arial" w:hAnsi="Arial" w:cs="Arial"/>
      <w:b/>
      <w:bCs/>
      <w:sz w:val="22"/>
      <w:szCs w:val="22"/>
    </w:rPr>
  </w:style>
  <w:style w:type="character" w:customStyle="1" w:styleId="Titlu7Caracter">
    <w:name w:val="Titlu 7 Caracter"/>
    <w:link w:val="Titlu7"/>
    <w:uiPriority w:val="9"/>
    <w:rPr>
      <w:rFonts w:ascii="Arial" w:eastAsia="Arial" w:hAnsi="Arial" w:cs="Arial"/>
      <w:b/>
      <w:bCs/>
      <w:i/>
      <w:iCs/>
      <w:sz w:val="22"/>
      <w:szCs w:val="22"/>
    </w:rPr>
  </w:style>
  <w:style w:type="character" w:customStyle="1" w:styleId="Titlu8Caracter">
    <w:name w:val="Titlu 8 Caracter"/>
    <w:link w:val="Titlu8"/>
    <w:uiPriority w:val="9"/>
    <w:rPr>
      <w:rFonts w:ascii="Arial" w:eastAsia="Arial" w:hAnsi="Arial" w:cs="Arial"/>
      <w:i/>
      <w:iCs/>
      <w:sz w:val="22"/>
      <w:szCs w:val="22"/>
    </w:rPr>
  </w:style>
  <w:style w:type="character" w:customStyle="1" w:styleId="Titlu9Caracter">
    <w:name w:val="Titlu 9 Caracter"/>
    <w:link w:val="Titlu9"/>
    <w:uiPriority w:val="9"/>
    <w:rPr>
      <w:rFonts w:ascii="Arial" w:eastAsia="Arial" w:hAnsi="Arial" w:cs="Arial"/>
      <w:i/>
      <w:iCs/>
      <w:sz w:val="21"/>
      <w:szCs w:val="21"/>
    </w:rPr>
  </w:style>
  <w:style w:type="paragraph" w:styleId="Titlu">
    <w:name w:val="Title"/>
    <w:basedOn w:val="Normal"/>
    <w:next w:val="Normal"/>
    <w:link w:val="TitluCaracter"/>
    <w:uiPriority w:val="10"/>
    <w:qFormat/>
    <w:pPr>
      <w:spacing w:before="300"/>
      <w:contextualSpacing/>
    </w:pPr>
    <w:rPr>
      <w:sz w:val="48"/>
      <w:szCs w:val="48"/>
    </w:rPr>
  </w:style>
  <w:style w:type="character" w:customStyle="1" w:styleId="TitluCaracter">
    <w:name w:val="Titlu Caracter"/>
    <w:link w:val="Titlu"/>
    <w:uiPriority w:val="10"/>
    <w:rPr>
      <w:sz w:val="48"/>
      <w:szCs w:val="48"/>
    </w:rPr>
  </w:style>
  <w:style w:type="paragraph" w:styleId="Subtitlu">
    <w:name w:val="Subtitle"/>
    <w:basedOn w:val="Normal"/>
    <w:next w:val="Normal"/>
    <w:link w:val="SubtitluCaracter"/>
    <w:uiPriority w:val="11"/>
    <w:qFormat/>
    <w:pPr>
      <w:spacing w:before="200"/>
    </w:pPr>
    <w:rPr>
      <w:sz w:val="24"/>
      <w:szCs w:val="24"/>
    </w:rPr>
  </w:style>
  <w:style w:type="character" w:customStyle="1" w:styleId="SubtitluCaracter">
    <w:name w:val="Subtitlu Caracter"/>
    <w:link w:val="Subtitlu"/>
    <w:uiPriority w:val="11"/>
    <w:rPr>
      <w:sz w:val="24"/>
      <w:szCs w:val="24"/>
    </w:rPr>
  </w:style>
  <w:style w:type="paragraph" w:styleId="Citat">
    <w:name w:val="Quote"/>
    <w:basedOn w:val="Normal"/>
    <w:next w:val="Normal"/>
    <w:link w:val="CitatCaracter"/>
    <w:uiPriority w:val="29"/>
    <w:qFormat/>
    <w:pPr>
      <w:ind w:left="720" w:right="720"/>
    </w:pPr>
    <w:rPr>
      <w:i/>
    </w:rPr>
  </w:style>
  <w:style w:type="character" w:customStyle="1" w:styleId="CitatCaracter">
    <w:name w:val="Citat Caracter"/>
    <w:link w:val="Citat"/>
    <w:uiPriority w:val="29"/>
    <w:rPr>
      <w:i/>
    </w:rPr>
  </w:style>
  <w:style w:type="paragraph" w:styleId="Citatintens">
    <w:name w:val="Intense Quote"/>
    <w:basedOn w:val="Normal"/>
    <w:next w:val="Normal"/>
    <w:link w:val="CitatintensCaracte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ntensCaracter">
    <w:name w:val="Citat intens Caracter"/>
    <w:link w:val="Citatintens"/>
    <w:uiPriority w:val="30"/>
    <w:rPr>
      <w:i/>
    </w:rPr>
  </w:style>
  <w:style w:type="paragraph" w:styleId="Antet">
    <w:name w:val="header"/>
    <w:basedOn w:val="Normal"/>
    <w:link w:val="AntetCaracter"/>
    <w:uiPriority w:val="99"/>
    <w:unhideWhenUsed/>
    <w:pPr>
      <w:tabs>
        <w:tab w:val="center" w:pos="7143"/>
        <w:tab w:val="right" w:pos="14287"/>
      </w:tabs>
      <w:spacing w:after="0" w:line="240" w:lineRule="auto"/>
    </w:pPr>
  </w:style>
  <w:style w:type="character" w:customStyle="1" w:styleId="AntetCaracter">
    <w:name w:val="Antet Caracter"/>
    <w:link w:val="Antet"/>
    <w:uiPriority w:val="99"/>
  </w:style>
  <w:style w:type="paragraph" w:styleId="Subsol">
    <w:name w:val="footer"/>
    <w:basedOn w:val="Normal"/>
    <w:link w:val="SubsolCaracter"/>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Legend">
    <w:name w:val="caption"/>
    <w:basedOn w:val="Normal"/>
    <w:next w:val="Normal"/>
    <w:uiPriority w:val="35"/>
    <w:semiHidden/>
    <w:unhideWhenUsed/>
    <w:qFormat/>
    <w:rPr>
      <w:b/>
      <w:bCs/>
      <w:color w:val="5B9BD5" w:themeColor="accent1"/>
      <w:sz w:val="18"/>
      <w:szCs w:val="18"/>
    </w:rPr>
  </w:style>
  <w:style w:type="character" w:customStyle="1" w:styleId="SubsolCaracter">
    <w:name w:val="Subsol Caracter"/>
    <w:link w:val="Subsol"/>
    <w:uiPriority w:val="99"/>
  </w:style>
  <w:style w:type="table" w:styleId="Tabelgril">
    <w:name w:val="Table Grid"/>
    <w:basedOn w:val="Tabel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el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elprimar1">
    <w:name w:val="Plain Table 1"/>
    <w:basedOn w:val="Tabel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elprimar2">
    <w:name w:val="Plain Table 2"/>
    <w:basedOn w:val="Tabel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primar3">
    <w:name w:val="Plain Table 3"/>
    <w:basedOn w:val="Tabel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simplu4">
    <w:name w:val="Plain Table 4"/>
    <w:basedOn w:val="Tabel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simplu5">
    <w:name w:val="Plain Table 5"/>
    <w:basedOn w:val="Tabel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gril1Luminos">
    <w:name w:val="Grid Table 1 Light"/>
    <w:basedOn w:val="Tabel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el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el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el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el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el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cugril2">
    <w:name w:val="Grid Table 2"/>
    <w:basedOn w:val="Tabel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el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el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el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el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el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cugril3">
    <w:name w:val="Grid Table 3"/>
    <w:basedOn w:val="Tabel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el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el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el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el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el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cugril4">
    <w:name w:val="Grid Table 4"/>
    <w:basedOn w:val="Tabel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el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el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el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el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el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gril5ntunecat">
    <w:name w:val="Grid Table 5 Dark"/>
    <w:basedOn w:val="Tabel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el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el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el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el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el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gril6Colorat">
    <w:name w:val="Grid Table 6 Colorful"/>
    <w:basedOn w:val="Tabel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el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el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el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el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el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elgril7Colorat">
    <w:name w:val="Grid Table 7 Colorful"/>
    <w:basedOn w:val="Tabel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el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el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el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el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el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list1Luminos">
    <w:name w:val="List Table 1 Light"/>
    <w:basedOn w:val="Tabel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el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el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el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el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el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list2">
    <w:name w:val="List Table 2"/>
    <w:basedOn w:val="Tabel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el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el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el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el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el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list3">
    <w:name w:val="List Table 3"/>
    <w:basedOn w:val="Tabel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el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el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el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el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el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list4">
    <w:name w:val="List Table 4"/>
    <w:basedOn w:val="Tabel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el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el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el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el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el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list5ntunecat">
    <w:name w:val="List Table 5 Dark"/>
    <w:basedOn w:val="Tabel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el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el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el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el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el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list6Colorat">
    <w:name w:val="List Table 6 Colorful"/>
    <w:basedOn w:val="Tabel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el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el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el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el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el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list7Colorat">
    <w:name w:val="List Table 7 Colorful"/>
    <w:basedOn w:val="Tabel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el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el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el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el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el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elNormal"/>
    <w:uiPriority w:val="99"/>
    <w:pPr>
      <w:spacing w:after="0" w:line="240" w:lineRule="auto"/>
    </w:pPr>
    <w:rPr>
      <w:color w:val="404040"/>
      <w:sz w:val="20"/>
      <w:szCs w:val="20"/>
      <w:lang w:val="ro-RO" w:eastAsia="ro-RO"/>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Normal"/>
    <w:uiPriority w:val="99"/>
    <w:pPr>
      <w:spacing w:after="0" w:line="240" w:lineRule="auto"/>
    </w:pPr>
    <w:rPr>
      <w:color w:val="404040"/>
      <w:sz w:val="20"/>
      <w:szCs w:val="20"/>
      <w:lang w:val="ro-RO" w:eastAsia="ro-RO"/>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elNormal"/>
    <w:uiPriority w:val="99"/>
    <w:pPr>
      <w:spacing w:after="0" w:line="240" w:lineRule="auto"/>
    </w:pPr>
    <w:rPr>
      <w:color w:val="404040"/>
      <w:sz w:val="20"/>
      <w:szCs w:val="20"/>
      <w:lang w:val="ro-RO" w:eastAsia="ro-RO"/>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elNormal"/>
    <w:uiPriority w:val="99"/>
    <w:pPr>
      <w:spacing w:after="0" w:line="240" w:lineRule="auto"/>
    </w:pPr>
    <w:rPr>
      <w:color w:val="404040"/>
      <w:sz w:val="20"/>
      <w:szCs w:val="20"/>
      <w:lang w:val="ro-RO" w:eastAsia="ro-RO"/>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elNormal"/>
    <w:uiPriority w:val="99"/>
    <w:pPr>
      <w:spacing w:after="0" w:line="240" w:lineRule="auto"/>
    </w:pPr>
    <w:rPr>
      <w:color w:val="404040"/>
      <w:sz w:val="20"/>
      <w:szCs w:val="20"/>
      <w:lang w:val="ro-RO" w:eastAsia="ro-RO"/>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elNormal"/>
    <w:uiPriority w:val="99"/>
    <w:pPr>
      <w:spacing w:after="0" w:line="240" w:lineRule="auto"/>
    </w:pPr>
    <w:rPr>
      <w:color w:val="404040"/>
      <w:sz w:val="20"/>
      <w:szCs w:val="20"/>
      <w:lang w:val="ro-RO" w:eastAsia="ro-RO"/>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elNormal"/>
    <w:uiPriority w:val="99"/>
    <w:pPr>
      <w:spacing w:after="0" w:line="240" w:lineRule="auto"/>
    </w:pPr>
    <w:rPr>
      <w:color w:val="404040"/>
      <w:sz w:val="20"/>
      <w:szCs w:val="20"/>
      <w:lang w:val="ro-RO" w:eastAsia="ro-RO"/>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elNormal"/>
    <w:uiPriority w:val="99"/>
    <w:pPr>
      <w:spacing w:after="0" w:line="240" w:lineRule="auto"/>
    </w:pPr>
    <w:rPr>
      <w:color w:val="404040"/>
      <w:sz w:val="20"/>
      <w:szCs w:val="20"/>
      <w:lang w:val="ro-RO" w:eastAsia="ro-RO"/>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Normal"/>
    <w:uiPriority w:val="99"/>
    <w:pPr>
      <w:spacing w:after="0" w:line="240" w:lineRule="auto"/>
    </w:pPr>
    <w:rPr>
      <w:color w:val="404040"/>
      <w:sz w:val="20"/>
      <w:szCs w:val="20"/>
      <w:lang w:val="ro-RO" w:eastAsia="ro-RO"/>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elNormal"/>
    <w:uiPriority w:val="99"/>
    <w:pPr>
      <w:spacing w:after="0" w:line="240" w:lineRule="auto"/>
    </w:pPr>
    <w:rPr>
      <w:color w:val="404040"/>
      <w:sz w:val="20"/>
      <w:szCs w:val="20"/>
      <w:lang w:val="ro-RO" w:eastAsia="ro-RO"/>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elNormal"/>
    <w:uiPriority w:val="99"/>
    <w:pPr>
      <w:spacing w:after="0" w:line="240" w:lineRule="auto"/>
    </w:pPr>
    <w:rPr>
      <w:color w:val="404040"/>
      <w:sz w:val="20"/>
      <w:szCs w:val="20"/>
      <w:lang w:val="ro-RO" w:eastAsia="ro-RO"/>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elNormal"/>
    <w:uiPriority w:val="99"/>
    <w:pPr>
      <w:spacing w:after="0" w:line="240" w:lineRule="auto"/>
    </w:pPr>
    <w:rPr>
      <w:color w:val="404040"/>
      <w:sz w:val="20"/>
      <w:szCs w:val="20"/>
      <w:lang w:val="ro-RO" w:eastAsia="ro-RO"/>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elNormal"/>
    <w:uiPriority w:val="99"/>
    <w:pPr>
      <w:spacing w:after="0" w:line="240" w:lineRule="auto"/>
    </w:pPr>
    <w:rPr>
      <w:color w:val="404040"/>
      <w:sz w:val="20"/>
      <w:szCs w:val="20"/>
      <w:lang w:val="ro-RO" w:eastAsia="ro-RO"/>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elNormal"/>
    <w:uiPriority w:val="99"/>
    <w:pPr>
      <w:spacing w:after="0" w:line="240" w:lineRule="auto"/>
    </w:pPr>
    <w:rPr>
      <w:color w:val="404040"/>
      <w:sz w:val="20"/>
      <w:szCs w:val="20"/>
      <w:lang w:val="ro-RO" w:eastAsia="ro-RO"/>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el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el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el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el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el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el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Textnotdesubsol">
    <w:name w:val="footnote text"/>
    <w:basedOn w:val="Normal"/>
    <w:link w:val="TextnotdesubsolCaracter"/>
    <w:uiPriority w:val="99"/>
    <w:semiHidden/>
    <w:unhideWhenUsed/>
    <w:pPr>
      <w:spacing w:after="40" w:line="240" w:lineRule="auto"/>
    </w:pPr>
    <w:rPr>
      <w:sz w:val="18"/>
    </w:rPr>
  </w:style>
  <w:style w:type="character" w:customStyle="1" w:styleId="TextnotdesubsolCaracter">
    <w:name w:val="Text notă de subsol Caracter"/>
    <w:link w:val="Textnotdesubsol"/>
    <w:uiPriority w:val="99"/>
    <w:rPr>
      <w:sz w:val="18"/>
    </w:rPr>
  </w:style>
  <w:style w:type="character" w:styleId="Referinnotdesubsol">
    <w:name w:val="footnote reference"/>
    <w:uiPriority w:val="99"/>
    <w:unhideWhenUsed/>
    <w:rPr>
      <w:vertAlign w:val="superscript"/>
    </w:rPr>
  </w:style>
  <w:style w:type="paragraph" w:styleId="Textnotdefinal">
    <w:name w:val="endnote text"/>
    <w:basedOn w:val="Normal"/>
    <w:link w:val="TextnotdefinalCaracter"/>
    <w:uiPriority w:val="99"/>
    <w:semiHidden/>
    <w:unhideWhenUsed/>
    <w:pPr>
      <w:spacing w:after="0" w:line="240" w:lineRule="auto"/>
    </w:pPr>
    <w:rPr>
      <w:sz w:val="20"/>
    </w:rPr>
  </w:style>
  <w:style w:type="character" w:customStyle="1" w:styleId="TextnotdefinalCaracter">
    <w:name w:val="Text notă de final Caracter"/>
    <w:link w:val="Textnotdefinal"/>
    <w:uiPriority w:val="99"/>
    <w:rPr>
      <w:sz w:val="20"/>
    </w:rPr>
  </w:style>
  <w:style w:type="character" w:styleId="Referinnotdefinal">
    <w:name w:val="endnote reference"/>
    <w:uiPriority w:val="99"/>
    <w:semiHidden/>
    <w:unhideWhenUsed/>
    <w:rPr>
      <w:vertAlign w:val="superscript"/>
    </w:rPr>
  </w:style>
  <w:style w:type="paragraph" w:styleId="Cuprins1">
    <w:name w:val="toc 1"/>
    <w:basedOn w:val="Normal"/>
    <w:next w:val="Normal"/>
    <w:uiPriority w:val="39"/>
    <w:unhideWhenUsed/>
    <w:pPr>
      <w:spacing w:after="57"/>
    </w:pPr>
  </w:style>
  <w:style w:type="paragraph" w:styleId="Cuprins2">
    <w:name w:val="toc 2"/>
    <w:basedOn w:val="Normal"/>
    <w:next w:val="Normal"/>
    <w:uiPriority w:val="39"/>
    <w:unhideWhenUsed/>
    <w:pPr>
      <w:spacing w:after="57"/>
      <w:ind w:left="283"/>
    </w:pPr>
  </w:style>
  <w:style w:type="paragraph" w:styleId="Cuprins3">
    <w:name w:val="toc 3"/>
    <w:basedOn w:val="Normal"/>
    <w:next w:val="Normal"/>
    <w:uiPriority w:val="39"/>
    <w:unhideWhenUsed/>
    <w:pPr>
      <w:spacing w:after="57"/>
      <w:ind w:left="567"/>
    </w:pPr>
  </w:style>
  <w:style w:type="paragraph" w:styleId="Cuprins4">
    <w:name w:val="toc 4"/>
    <w:basedOn w:val="Normal"/>
    <w:next w:val="Normal"/>
    <w:uiPriority w:val="39"/>
    <w:unhideWhenUsed/>
    <w:pPr>
      <w:spacing w:after="57"/>
      <w:ind w:left="850"/>
    </w:pPr>
  </w:style>
  <w:style w:type="paragraph" w:styleId="Cuprins5">
    <w:name w:val="toc 5"/>
    <w:basedOn w:val="Normal"/>
    <w:next w:val="Normal"/>
    <w:uiPriority w:val="39"/>
    <w:unhideWhenUsed/>
    <w:pPr>
      <w:spacing w:after="57"/>
      <w:ind w:left="1134"/>
    </w:pPr>
  </w:style>
  <w:style w:type="paragraph" w:styleId="Cuprins6">
    <w:name w:val="toc 6"/>
    <w:basedOn w:val="Normal"/>
    <w:next w:val="Normal"/>
    <w:uiPriority w:val="39"/>
    <w:unhideWhenUsed/>
    <w:pPr>
      <w:spacing w:after="57"/>
      <w:ind w:left="1417"/>
    </w:pPr>
  </w:style>
  <w:style w:type="paragraph" w:styleId="Cuprins7">
    <w:name w:val="toc 7"/>
    <w:basedOn w:val="Normal"/>
    <w:next w:val="Normal"/>
    <w:uiPriority w:val="39"/>
    <w:unhideWhenUsed/>
    <w:pPr>
      <w:spacing w:after="57"/>
      <w:ind w:left="1701"/>
    </w:pPr>
  </w:style>
  <w:style w:type="paragraph" w:styleId="Cuprins8">
    <w:name w:val="toc 8"/>
    <w:basedOn w:val="Normal"/>
    <w:next w:val="Normal"/>
    <w:uiPriority w:val="39"/>
    <w:unhideWhenUsed/>
    <w:pPr>
      <w:spacing w:after="57"/>
      <w:ind w:left="1984"/>
    </w:pPr>
  </w:style>
  <w:style w:type="paragraph" w:styleId="Cuprins9">
    <w:name w:val="toc 9"/>
    <w:basedOn w:val="Normal"/>
    <w:next w:val="Normal"/>
    <w:uiPriority w:val="39"/>
    <w:unhideWhenUsed/>
    <w:pPr>
      <w:spacing w:after="57"/>
      <w:ind w:left="2268"/>
    </w:pPr>
  </w:style>
  <w:style w:type="paragraph" w:styleId="Titlucuprins">
    <w:name w:val="TOC Heading"/>
    <w:uiPriority w:val="39"/>
    <w:unhideWhenUsed/>
  </w:style>
  <w:style w:type="paragraph" w:styleId="Tabeldefiguri">
    <w:name w:val="table of figures"/>
    <w:basedOn w:val="Normal"/>
    <w:next w:val="Normal"/>
    <w:uiPriority w:val="99"/>
    <w:unhideWhenUsed/>
    <w:pPr>
      <w:spacing w:after="0"/>
    </w:pPr>
  </w:style>
  <w:style w:type="paragraph" w:styleId="Frspaiere">
    <w:name w:val="No Spacing"/>
    <w:basedOn w:val="Normal"/>
    <w:uiPriority w:val="1"/>
    <w:qFormat/>
    <w:pPr>
      <w:spacing w:after="0" w:line="240" w:lineRule="auto"/>
    </w:pPr>
  </w:style>
  <w:style w:type="paragraph" w:styleId="Listparagraf">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2207</Words>
  <Characters>12801</Characters>
  <Application>Microsoft Office Word</Application>
  <DocSecurity>0</DocSecurity>
  <Lines>106</Lines>
  <Paragraphs>29</Paragraphs>
  <ScaleCrop>false</ScaleCrop>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2024-04-11T06:44:00Z</dcterms:created>
  <dcterms:modified xsi:type="dcterms:W3CDTF">2024-04-11T06:44:00Z</dcterms:modified>
</cp:coreProperties>
</file>